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BBA8A" w14:textId="77777777" w:rsidR="00F42838" w:rsidRDefault="00F42838" w:rsidP="00F42838">
      <w:pPr>
        <w:spacing w:line="480" w:lineRule="auto"/>
        <w:jc w:val="center"/>
        <w:rPr>
          <w:rFonts w:ascii="Times New Roman" w:hAnsi="Times New Roman" w:cs="Times New Roman"/>
          <w:bCs/>
          <w:sz w:val="24"/>
          <w:szCs w:val="24"/>
          <w:lang w:val="en-US"/>
        </w:rPr>
      </w:pPr>
    </w:p>
    <w:p w14:paraId="6EFD9029" w14:textId="77777777" w:rsidR="00F42838" w:rsidRDefault="00F42838" w:rsidP="00F42838">
      <w:pPr>
        <w:spacing w:line="480" w:lineRule="auto"/>
        <w:jc w:val="center"/>
        <w:rPr>
          <w:rFonts w:ascii="Times New Roman" w:hAnsi="Times New Roman" w:cs="Times New Roman"/>
          <w:bCs/>
          <w:sz w:val="24"/>
          <w:szCs w:val="24"/>
          <w:lang w:val="en-US"/>
        </w:rPr>
      </w:pPr>
    </w:p>
    <w:p w14:paraId="0D3D1C0C" w14:textId="77777777" w:rsidR="00F42838" w:rsidRDefault="00F42838" w:rsidP="00F42838">
      <w:pPr>
        <w:spacing w:line="480" w:lineRule="auto"/>
        <w:jc w:val="center"/>
        <w:rPr>
          <w:rFonts w:ascii="Times New Roman" w:hAnsi="Times New Roman" w:cs="Times New Roman"/>
          <w:bCs/>
          <w:sz w:val="24"/>
          <w:szCs w:val="24"/>
          <w:lang w:val="en-US"/>
        </w:rPr>
      </w:pPr>
    </w:p>
    <w:p w14:paraId="7D9B9AC8" w14:textId="77777777" w:rsidR="00F42838" w:rsidRDefault="00F42838" w:rsidP="00F42838">
      <w:pPr>
        <w:spacing w:line="480" w:lineRule="auto"/>
        <w:jc w:val="center"/>
        <w:rPr>
          <w:rFonts w:ascii="Times New Roman" w:hAnsi="Times New Roman" w:cs="Times New Roman"/>
          <w:bCs/>
          <w:sz w:val="24"/>
          <w:szCs w:val="24"/>
          <w:lang w:val="en-US"/>
        </w:rPr>
      </w:pPr>
    </w:p>
    <w:p w14:paraId="3E7822B0" w14:textId="77777777" w:rsidR="00F42838" w:rsidRDefault="00F42838" w:rsidP="00F42838">
      <w:pPr>
        <w:spacing w:line="480" w:lineRule="auto"/>
        <w:jc w:val="center"/>
        <w:rPr>
          <w:rFonts w:ascii="Times New Roman" w:hAnsi="Times New Roman" w:cs="Times New Roman"/>
          <w:bCs/>
          <w:sz w:val="24"/>
          <w:szCs w:val="24"/>
          <w:lang w:val="en-US"/>
        </w:rPr>
      </w:pPr>
    </w:p>
    <w:p w14:paraId="47AEA6EB" w14:textId="558DDD85" w:rsidR="00141D91" w:rsidRDefault="00141D91" w:rsidP="00F42838">
      <w:pPr>
        <w:spacing w:line="480" w:lineRule="auto"/>
        <w:jc w:val="center"/>
        <w:rPr>
          <w:rFonts w:ascii="Times New Roman" w:hAnsi="Times New Roman" w:cs="Times New Roman"/>
          <w:bCs/>
          <w:sz w:val="24"/>
          <w:szCs w:val="24"/>
          <w:lang w:val="en-US"/>
        </w:rPr>
      </w:pPr>
      <w:r w:rsidRPr="00141D91">
        <w:rPr>
          <w:rFonts w:ascii="Times New Roman" w:hAnsi="Times New Roman" w:cs="Times New Roman"/>
          <w:bCs/>
          <w:sz w:val="24"/>
          <w:szCs w:val="24"/>
          <w:lang w:val="en-US"/>
        </w:rPr>
        <w:t>Session 3</w:t>
      </w:r>
      <w:r w:rsidRPr="00141D91">
        <w:rPr>
          <w:rFonts w:ascii="Times New Roman" w:hAnsi="Times New Roman" w:cs="Times New Roman"/>
          <w:bCs/>
          <w:sz w:val="24"/>
          <w:szCs w:val="24"/>
          <w:lang w:val="en-US"/>
        </w:rPr>
        <w:t xml:space="preserve"> Discussion: Analyzing Financial Statements</w:t>
      </w:r>
    </w:p>
    <w:p w14:paraId="019FE96F" w14:textId="297427D4" w:rsidR="00141D91" w:rsidRDefault="00141D91" w:rsidP="00F4283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828B1A7" w14:textId="035DA738" w:rsidR="00141D91" w:rsidRDefault="00141D91" w:rsidP="00F4283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28F5C74" w14:textId="77777777" w:rsidR="00F42838" w:rsidRDefault="00F42838" w:rsidP="00F4283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2688AAF" w14:textId="19D95B46" w:rsidR="00141D91" w:rsidRDefault="00141D91" w:rsidP="00F42838">
      <w:pPr>
        <w:spacing w:line="480" w:lineRule="auto"/>
        <w:jc w:val="center"/>
        <w:rPr>
          <w:rFonts w:ascii="Times New Roman" w:hAnsi="Times New Roman" w:cs="Times New Roman"/>
          <w:bCs/>
          <w:sz w:val="24"/>
          <w:szCs w:val="24"/>
          <w:lang w:val="en-US"/>
        </w:rPr>
      </w:pPr>
      <w:r w:rsidRPr="00141D91">
        <w:rPr>
          <w:rFonts w:ascii="Times New Roman" w:hAnsi="Times New Roman" w:cs="Times New Roman"/>
          <w:bCs/>
          <w:sz w:val="24"/>
          <w:szCs w:val="24"/>
          <w:lang w:val="en-US"/>
        </w:rPr>
        <w:lastRenderedPageBreak/>
        <w:t>Session 3 Discussion: Analyzing Financial Statements</w:t>
      </w:r>
    </w:p>
    <w:p w14:paraId="6E154271" w14:textId="77777777" w:rsidR="00141D91" w:rsidRDefault="00141D91" w:rsidP="00F42838">
      <w:pPr>
        <w:spacing w:line="480" w:lineRule="auto"/>
        <w:rPr>
          <w:rFonts w:ascii="Times New Roman" w:hAnsi="Times New Roman" w:cs="Times New Roman"/>
          <w:b/>
          <w:sz w:val="24"/>
          <w:szCs w:val="24"/>
          <w:lang w:val="en-US"/>
        </w:rPr>
      </w:pPr>
      <w:r w:rsidRPr="00141D91">
        <w:rPr>
          <w:rFonts w:ascii="Times New Roman" w:hAnsi="Times New Roman" w:cs="Times New Roman"/>
          <w:b/>
          <w:sz w:val="24"/>
          <w:szCs w:val="24"/>
          <w:lang w:val="en-US"/>
        </w:rPr>
        <w:t xml:space="preserve">Question 1: </w:t>
      </w:r>
      <w:r w:rsidRPr="00141D91">
        <w:rPr>
          <w:rFonts w:ascii="Times New Roman" w:hAnsi="Times New Roman" w:cs="Times New Roman"/>
          <w:b/>
          <w:sz w:val="24"/>
          <w:szCs w:val="24"/>
          <w:lang w:val="en-US"/>
        </w:rPr>
        <w:t xml:space="preserve">Analysis of ROE and ROA and </w:t>
      </w:r>
      <w:r w:rsidRPr="00141D91">
        <w:rPr>
          <w:rFonts w:ascii="Times New Roman" w:hAnsi="Times New Roman" w:cs="Times New Roman"/>
          <w:b/>
          <w:sz w:val="24"/>
          <w:szCs w:val="24"/>
          <w:lang w:val="en-US"/>
        </w:rPr>
        <w:t>H</w:t>
      </w:r>
      <w:r w:rsidRPr="00141D91">
        <w:rPr>
          <w:rFonts w:ascii="Times New Roman" w:hAnsi="Times New Roman" w:cs="Times New Roman"/>
          <w:b/>
          <w:sz w:val="24"/>
          <w:szCs w:val="24"/>
          <w:lang w:val="en-US"/>
        </w:rPr>
        <w:t xml:space="preserve">ow they </w:t>
      </w:r>
      <w:r w:rsidRPr="00141D91">
        <w:rPr>
          <w:rFonts w:ascii="Times New Roman" w:hAnsi="Times New Roman" w:cs="Times New Roman"/>
          <w:b/>
          <w:sz w:val="24"/>
          <w:szCs w:val="24"/>
          <w:lang w:val="en-US"/>
        </w:rPr>
        <w:t>F</w:t>
      </w:r>
      <w:r w:rsidRPr="00141D91">
        <w:rPr>
          <w:rFonts w:ascii="Times New Roman" w:hAnsi="Times New Roman" w:cs="Times New Roman"/>
          <w:b/>
          <w:sz w:val="24"/>
          <w:szCs w:val="24"/>
          <w:lang w:val="en-US"/>
        </w:rPr>
        <w:t>it into Profitability Ratios</w:t>
      </w:r>
    </w:p>
    <w:p w14:paraId="1BD4F4C6" w14:textId="36C62DFD" w:rsidR="00454314" w:rsidRDefault="00141D91" w:rsidP="00F42838">
      <w:pPr>
        <w:spacing w:line="480" w:lineRule="auto"/>
        <w:ind w:firstLine="720"/>
        <w:rPr>
          <w:rFonts w:ascii="Times New Roman" w:hAnsi="Times New Roman" w:cs="Times New Roman"/>
          <w:sz w:val="24"/>
          <w:szCs w:val="24"/>
          <w:lang w:val="en-US"/>
        </w:rPr>
      </w:pPr>
      <w:r w:rsidRPr="00141D91">
        <w:rPr>
          <w:rFonts w:ascii="Times New Roman" w:hAnsi="Times New Roman" w:cs="Times New Roman"/>
          <w:sz w:val="24"/>
          <w:szCs w:val="24"/>
          <w:lang w:val="en-US"/>
        </w:rPr>
        <w:t xml:space="preserve">Profitability ratios are measurements that can be used to assess the ability of a company to generate profit relative to revenue, balance sheet assets, operating costs, and shareholders’ equity over a certain period of time (Corporate Finance Institute, 2021). As such, they explain how effective a company is in using its assets to make a profit and create value for its shareholders (Corporate Finance Institute, 2021). Profitability ratios can be classified into the margin and return ratios, with the former illustrating a company’s ability to convert sales into profits at various degrees of measurement, and return ratios reflecting the company’s ability to generate returns to its shareholders (Corporate Finance Institute, 2021). Two of the most used return ratios are the Return on Equity (ROE), and the Return on Assets (ROA). Return on Assets measures the profitability of a company relative to its total assets and is calculated by the Net Income divided by the Total Assets, where the total assets refer to the sum of the shareholder equity and the liabilities of a company (Fuhrmann, 2020). </w:t>
      </w:r>
      <w:r w:rsidR="006A5A3B">
        <w:rPr>
          <w:rFonts w:ascii="Times New Roman" w:hAnsi="Times New Roman" w:cs="Times New Roman"/>
          <w:sz w:val="24"/>
          <w:szCs w:val="24"/>
          <w:lang w:val="en-US"/>
        </w:rPr>
        <w:t>However, return on equity</w:t>
      </w:r>
      <w:r w:rsidRPr="00141D91">
        <w:rPr>
          <w:rFonts w:ascii="Times New Roman" w:hAnsi="Times New Roman" w:cs="Times New Roman"/>
          <w:sz w:val="24"/>
          <w:szCs w:val="24"/>
          <w:lang w:val="en-US"/>
        </w:rPr>
        <w:t xml:space="preserve"> expresses the percentage of net income relative to stockholders’ equity, or the rate of return on the money that equity investors have put into the business (Corporate Finance Institute, 2021). To calculate the return on equity, the net income is divided by the shareholder equity, which is the total assets minus the liabilities of a company (Fuhrmann, 2020). Therefore, the main difference between ROE and ROA is the way that a company</w:t>
      </w:r>
      <w:r w:rsidR="006A5A3B">
        <w:rPr>
          <w:rFonts w:ascii="Times New Roman" w:hAnsi="Times New Roman" w:cs="Times New Roman"/>
          <w:sz w:val="24"/>
          <w:szCs w:val="24"/>
          <w:lang w:val="en-US"/>
        </w:rPr>
        <w:t>’</w:t>
      </w:r>
      <w:r w:rsidRPr="00141D91">
        <w:rPr>
          <w:rFonts w:ascii="Times New Roman" w:hAnsi="Times New Roman" w:cs="Times New Roman"/>
          <w:sz w:val="24"/>
          <w:szCs w:val="24"/>
          <w:lang w:val="en-US"/>
        </w:rPr>
        <w:t>s debt is considered since shareholder equity and total assets are equal if the company has no debt (Fuhrmann, 2020).</w:t>
      </w:r>
    </w:p>
    <w:p w14:paraId="1BFE6568" w14:textId="2A9E7400" w:rsidR="00141D91" w:rsidRPr="00454314" w:rsidRDefault="00141D91" w:rsidP="00F42838">
      <w:pPr>
        <w:spacing w:line="48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Question 2: </w:t>
      </w:r>
      <w:r w:rsidRPr="00141D91">
        <w:rPr>
          <w:rFonts w:ascii="Times New Roman" w:hAnsi="Times New Roman" w:cs="Times New Roman"/>
          <w:b/>
          <w:sz w:val="24"/>
          <w:szCs w:val="24"/>
          <w:lang w:val="en-US"/>
        </w:rPr>
        <w:t>Financial Leverage</w:t>
      </w:r>
      <w:r>
        <w:rPr>
          <w:rFonts w:ascii="Times New Roman" w:hAnsi="Times New Roman" w:cs="Times New Roman"/>
          <w:b/>
          <w:sz w:val="24"/>
          <w:szCs w:val="24"/>
          <w:lang w:val="en-US"/>
        </w:rPr>
        <w:t xml:space="preserve"> and the </w:t>
      </w:r>
      <w:r w:rsidRPr="00141D91">
        <w:rPr>
          <w:rFonts w:ascii="Times New Roman" w:hAnsi="Times New Roman" w:cs="Times New Roman"/>
          <w:b/>
          <w:sz w:val="24"/>
          <w:szCs w:val="24"/>
          <w:lang w:val="en-US"/>
        </w:rPr>
        <w:t>Benefits and Risks Associated with it.</w:t>
      </w:r>
    </w:p>
    <w:p w14:paraId="1E78920A" w14:textId="5492D965" w:rsidR="00141D91" w:rsidRDefault="00141D91" w:rsidP="00F42838">
      <w:pPr>
        <w:spacing w:line="480" w:lineRule="auto"/>
        <w:ind w:firstLine="720"/>
        <w:rPr>
          <w:rFonts w:ascii="Times New Roman" w:hAnsi="Times New Roman" w:cs="Times New Roman"/>
          <w:sz w:val="24"/>
          <w:szCs w:val="24"/>
          <w:lang w:val="en-US"/>
        </w:rPr>
      </w:pPr>
      <w:r w:rsidRPr="00141D91">
        <w:rPr>
          <w:rFonts w:ascii="Times New Roman" w:hAnsi="Times New Roman" w:cs="Times New Roman"/>
          <w:sz w:val="24"/>
          <w:szCs w:val="24"/>
          <w:lang w:val="en-US"/>
        </w:rPr>
        <w:t xml:space="preserve">Financial leverage is the utilization of borrowed money (debt) to acquire more assets with the projection that the income from the newly acquired assets will surpass the cost of </w:t>
      </w:r>
      <w:r w:rsidRPr="00141D91">
        <w:rPr>
          <w:rFonts w:ascii="Times New Roman" w:hAnsi="Times New Roman" w:cs="Times New Roman"/>
          <w:sz w:val="24"/>
          <w:szCs w:val="24"/>
          <w:lang w:val="en-US"/>
        </w:rPr>
        <w:lastRenderedPageBreak/>
        <w:t>borrowing (Corporate Finance Institute, 2021). Frequently, the provider of the debt determines the limitations regarding the extent of leverage allowed (Corporate Finance Institute, 2021). For instance, in asset-backed lending, the provider uses the assets as collateral until the borrower repays the loan</w:t>
      </w:r>
      <w:r w:rsidR="006A5A3B">
        <w:rPr>
          <w:rFonts w:ascii="Times New Roman" w:hAnsi="Times New Roman" w:cs="Times New Roman"/>
          <w:sz w:val="24"/>
          <w:szCs w:val="24"/>
          <w:lang w:val="en-US"/>
        </w:rPr>
        <w:t>.</w:t>
      </w:r>
      <w:r w:rsidRPr="00141D91">
        <w:rPr>
          <w:rFonts w:ascii="Times New Roman" w:hAnsi="Times New Roman" w:cs="Times New Roman"/>
          <w:sz w:val="24"/>
          <w:szCs w:val="24"/>
          <w:lang w:val="en-US"/>
        </w:rPr>
        <w:t xml:space="preserve"> </w:t>
      </w:r>
      <w:r w:rsidR="006A5A3B">
        <w:rPr>
          <w:rFonts w:ascii="Times New Roman" w:hAnsi="Times New Roman" w:cs="Times New Roman"/>
          <w:sz w:val="24"/>
          <w:szCs w:val="24"/>
          <w:lang w:val="en-US"/>
        </w:rPr>
        <w:t>B</w:t>
      </w:r>
      <w:r w:rsidRPr="00141D91">
        <w:rPr>
          <w:rFonts w:ascii="Times New Roman" w:hAnsi="Times New Roman" w:cs="Times New Roman"/>
          <w:sz w:val="24"/>
          <w:szCs w:val="24"/>
          <w:lang w:val="en-US"/>
        </w:rPr>
        <w:t>ut in the case of a cash flow loan, the general creditworthiness of the company is used to back the loan (Corporate Finance Institute, 2021). As such, acquiring financial leverage can be seen as an attempt at increasing the Return on Equity (Accounting Tools, 2020). Financial leverage can be measured in terms of debt and coverage ratios. The Debt-to-Equity Ratio is one of the most common debt ratios, and it expresses the proportion of a company’s debt relative to its equity (Corporate Finance Institute, 2021). Therefore, financial leverage can be calculated by dividing a company</w:t>
      </w:r>
      <w:r w:rsidR="006A5A3B">
        <w:rPr>
          <w:rFonts w:ascii="Times New Roman" w:hAnsi="Times New Roman" w:cs="Times New Roman"/>
          <w:sz w:val="24"/>
          <w:szCs w:val="24"/>
          <w:lang w:val="en-US"/>
        </w:rPr>
        <w:t>’</w:t>
      </w:r>
      <w:r w:rsidRPr="00141D91">
        <w:rPr>
          <w:rFonts w:ascii="Times New Roman" w:hAnsi="Times New Roman" w:cs="Times New Roman"/>
          <w:sz w:val="24"/>
          <w:szCs w:val="24"/>
          <w:lang w:val="en-US"/>
        </w:rPr>
        <w:t>s debt with its total assets. Thus, financial leverage increases with an increase in debt owed by a company. However, financial leverage has several benefits, some of which include enhanced earnings since the leverage may allow an entity to earn a disproportionate amount on its assets (Accounting Tools, 2020). Also, in many tax jurisdictions, the interest expense is tax-deductible, which reduces its net cost to the borrower (Accounting Tools, 2020). Nonetheless, some of the risks associated with financial leverage include the possibility of a company becoming bankrupt if its cash flow drops below the expected levels (Accounting Tools, 2020). Additionally, other lenders may hesitate to give the company leverage if the company has a high debt-to-equity ratio (Corporate Finance Institute, 2021).</w:t>
      </w:r>
    </w:p>
    <w:p w14:paraId="01B21864" w14:textId="77777777" w:rsidR="00F42838" w:rsidRDefault="00F42838" w:rsidP="00F4283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5FE1B6F" w14:textId="2F5F9A60" w:rsidR="00141D91" w:rsidRDefault="00141D91" w:rsidP="00F42838">
      <w:pPr>
        <w:spacing w:line="480" w:lineRule="auto"/>
        <w:jc w:val="center"/>
        <w:rPr>
          <w:rFonts w:ascii="Times New Roman" w:hAnsi="Times New Roman" w:cs="Times New Roman"/>
          <w:bCs/>
          <w:sz w:val="24"/>
          <w:szCs w:val="24"/>
          <w:lang w:val="en-US"/>
        </w:rPr>
      </w:pPr>
      <w:r w:rsidRPr="00141D91">
        <w:rPr>
          <w:rFonts w:ascii="Times New Roman" w:hAnsi="Times New Roman" w:cs="Times New Roman"/>
          <w:bCs/>
          <w:sz w:val="24"/>
          <w:szCs w:val="24"/>
          <w:lang w:val="en-US"/>
        </w:rPr>
        <w:lastRenderedPageBreak/>
        <w:t>References</w:t>
      </w:r>
    </w:p>
    <w:p w14:paraId="6E26DC00" w14:textId="77777777" w:rsidR="009E7CB7" w:rsidRDefault="009E7CB7" w:rsidP="00F42838">
      <w:pPr>
        <w:spacing w:line="480" w:lineRule="auto"/>
        <w:ind w:left="720" w:hanging="720"/>
        <w:rPr>
          <w:rFonts w:ascii="Times New Roman" w:hAnsi="Times New Roman" w:cs="Times New Roman"/>
          <w:sz w:val="24"/>
          <w:szCs w:val="24"/>
          <w:lang w:val="en-US"/>
        </w:rPr>
      </w:pPr>
      <w:r w:rsidRPr="00141D91">
        <w:rPr>
          <w:rFonts w:ascii="Times New Roman" w:hAnsi="Times New Roman" w:cs="Times New Roman"/>
          <w:sz w:val="24"/>
          <w:szCs w:val="24"/>
          <w:lang w:val="en-US"/>
        </w:rPr>
        <w:t>Accounting Tools. (2020). Financial Leverage Definition. Retrieved from</w:t>
      </w:r>
      <w:r>
        <w:rPr>
          <w:rFonts w:ascii="Times New Roman" w:hAnsi="Times New Roman" w:cs="Times New Roman"/>
          <w:sz w:val="24"/>
          <w:szCs w:val="24"/>
          <w:lang w:val="en-US"/>
        </w:rPr>
        <w:t xml:space="preserve"> </w:t>
      </w:r>
      <w:hyperlink r:id="rId7" w:history="1">
        <w:r w:rsidRPr="00141D91">
          <w:rPr>
            <w:rStyle w:val="Hyperlink"/>
            <w:rFonts w:ascii="Times New Roman" w:hAnsi="Times New Roman" w:cs="Times New Roman"/>
            <w:sz w:val="24"/>
            <w:szCs w:val="24"/>
            <w:lang w:val="en-US"/>
          </w:rPr>
          <w:t>https://www.accountingtools.com/articles/2017/5/14/financial-leverage</w:t>
        </w:r>
      </w:hyperlink>
    </w:p>
    <w:p w14:paraId="63D2CD41" w14:textId="77777777" w:rsidR="009E7CB7" w:rsidRPr="00141D91" w:rsidRDefault="009E7CB7" w:rsidP="00F42838">
      <w:pPr>
        <w:spacing w:line="480" w:lineRule="auto"/>
        <w:ind w:left="720" w:hanging="720"/>
        <w:rPr>
          <w:rFonts w:ascii="Times New Roman" w:hAnsi="Times New Roman" w:cs="Times New Roman"/>
          <w:sz w:val="24"/>
          <w:szCs w:val="24"/>
          <w:lang w:val="en-US"/>
        </w:rPr>
      </w:pPr>
      <w:r w:rsidRPr="00141D91">
        <w:rPr>
          <w:rFonts w:ascii="Times New Roman" w:hAnsi="Times New Roman" w:cs="Times New Roman"/>
          <w:sz w:val="24"/>
          <w:szCs w:val="24"/>
          <w:lang w:val="en-US"/>
        </w:rPr>
        <w:t xml:space="preserve">Corporate Finance Institute. (2021). Financial Leverage. </w:t>
      </w:r>
      <w:r w:rsidRPr="00141D91">
        <w:rPr>
          <w:rFonts w:ascii="Times New Roman" w:hAnsi="Times New Roman" w:cs="Times New Roman"/>
          <w:i/>
          <w:sz w:val="24"/>
          <w:szCs w:val="24"/>
          <w:lang w:val="en-US"/>
        </w:rPr>
        <w:t xml:space="preserve">CFI. </w:t>
      </w:r>
      <w:r w:rsidRPr="00141D91">
        <w:rPr>
          <w:rFonts w:ascii="Times New Roman" w:hAnsi="Times New Roman" w:cs="Times New Roman"/>
          <w:sz w:val="24"/>
          <w:szCs w:val="24"/>
          <w:lang w:val="en-US"/>
        </w:rPr>
        <w:t>Retrieved from</w:t>
      </w:r>
      <w:r>
        <w:rPr>
          <w:rFonts w:ascii="Times New Roman" w:hAnsi="Times New Roman" w:cs="Times New Roman"/>
          <w:sz w:val="24"/>
          <w:szCs w:val="24"/>
          <w:lang w:val="en-US"/>
        </w:rPr>
        <w:t xml:space="preserve"> </w:t>
      </w:r>
      <w:hyperlink r:id="rId8" w:history="1">
        <w:r w:rsidRPr="00B7431C">
          <w:rPr>
            <w:rStyle w:val="Hyperlink"/>
            <w:rFonts w:ascii="Times New Roman" w:hAnsi="Times New Roman" w:cs="Times New Roman"/>
            <w:sz w:val="24"/>
            <w:szCs w:val="24"/>
            <w:lang w:val="en-US"/>
          </w:rPr>
          <w:t>https://corporatefinanceinstitute.com/resources/knowledge/finance/financial-leverage/</w:t>
        </w:r>
      </w:hyperlink>
    </w:p>
    <w:p w14:paraId="29192E20" w14:textId="19600DC2" w:rsidR="009E7CB7" w:rsidRPr="00454314" w:rsidRDefault="009E7CB7" w:rsidP="00F42838">
      <w:pPr>
        <w:spacing w:line="480" w:lineRule="auto"/>
        <w:ind w:left="720" w:hanging="720"/>
        <w:rPr>
          <w:rFonts w:ascii="Times New Roman" w:hAnsi="Times New Roman" w:cs="Times New Roman"/>
          <w:bCs/>
          <w:sz w:val="24"/>
          <w:szCs w:val="24"/>
          <w:lang w:val="en-US"/>
        </w:rPr>
      </w:pPr>
      <w:r w:rsidRPr="00454314">
        <w:rPr>
          <w:rFonts w:ascii="Times New Roman" w:hAnsi="Times New Roman" w:cs="Times New Roman"/>
          <w:bCs/>
          <w:sz w:val="24"/>
          <w:szCs w:val="24"/>
          <w:lang w:val="en-US"/>
        </w:rPr>
        <w:t>Corporate Finance Institute. (2021). What are Profitability Ratios</w:t>
      </w:r>
      <w:r w:rsidRPr="00454314">
        <w:rPr>
          <w:rFonts w:ascii="Times New Roman" w:hAnsi="Times New Roman" w:cs="Times New Roman"/>
          <w:bCs/>
          <w:i/>
          <w:sz w:val="24"/>
          <w:szCs w:val="24"/>
          <w:lang w:val="en-US"/>
        </w:rPr>
        <w:t>?</w:t>
      </w:r>
      <w:r w:rsidR="00355F55">
        <w:rPr>
          <w:rFonts w:ascii="Times New Roman" w:hAnsi="Times New Roman" w:cs="Times New Roman"/>
          <w:bCs/>
          <w:i/>
          <w:sz w:val="24"/>
          <w:szCs w:val="24"/>
          <w:lang w:val="en-US"/>
        </w:rPr>
        <w:t xml:space="preserve"> </w:t>
      </w:r>
      <w:r w:rsidRPr="00454314">
        <w:rPr>
          <w:rFonts w:ascii="Times New Roman" w:hAnsi="Times New Roman" w:cs="Times New Roman"/>
          <w:bCs/>
          <w:i/>
          <w:sz w:val="24"/>
          <w:szCs w:val="24"/>
          <w:lang w:val="en-US"/>
        </w:rPr>
        <w:t xml:space="preserve">CFI. </w:t>
      </w:r>
      <w:r w:rsidRPr="00454314">
        <w:rPr>
          <w:rFonts w:ascii="Times New Roman" w:hAnsi="Times New Roman" w:cs="Times New Roman"/>
          <w:bCs/>
          <w:sz w:val="24"/>
          <w:szCs w:val="24"/>
          <w:lang w:val="en-US"/>
        </w:rPr>
        <w:t xml:space="preserve">Retrieved from </w:t>
      </w:r>
      <w:hyperlink r:id="rId9" w:history="1">
        <w:r w:rsidRPr="00454314">
          <w:rPr>
            <w:rStyle w:val="Hyperlink"/>
            <w:rFonts w:ascii="Times New Roman" w:hAnsi="Times New Roman" w:cs="Times New Roman"/>
            <w:bCs/>
            <w:sz w:val="24"/>
            <w:szCs w:val="24"/>
            <w:lang w:val="en-US"/>
          </w:rPr>
          <w:t>https://corporatefinanceinstitute.com/resources/knowledge/finance/profitability-ratios/</w:t>
        </w:r>
      </w:hyperlink>
    </w:p>
    <w:p w14:paraId="460B5099" w14:textId="77777777" w:rsidR="009E7CB7" w:rsidRDefault="009E7CB7" w:rsidP="00F42838">
      <w:pPr>
        <w:spacing w:line="480" w:lineRule="auto"/>
        <w:ind w:left="720" w:hanging="720"/>
        <w:rPr>
          <w:rFonts w:ascii="Times New Roman" w:hAnsi="Times New Roman" w:cs="Times New Roman"/>
          <w:bCs/>
          <w:sz w:val="24"/>
          <w:szCs w:val="24"/>
          <w:lang w:val="en-US"/>
        </w:rPr>
      </w:pPr>
      <w:r w:rsidRPr="00454314">
        <w:rPr>
          <w:rFonts w:ascii="Times New Roman" w:hAnsi="Times New Roman" w:cs="Times New Roman"/>
          <w:bCs/>
          <w:sz w:val="24"/>
          <w:szCs w:val="24"/>
          <w:lang w:val="en-US"/>
        </w:rPr>
        <w:t xml:space="preserve">Furhmann, R. (2020). Return on Equity (ROE) vs. Return on Assets (ROA). </w:t>
      </w:r>
      <w:r w:rsidRPr="00454314">
        <w:rPr>
          <w:rFonts w:ascii="Times New Roman" w:hAnsi="Times New Roman" w:cs="Times New Roman"/>
          <w:bCs/>
          <w:i/>
          <w:sz w:val="24"/>
          <w:szCs w:val="24"/>
          <w:lang w:val="en-US"/>
        </w:rPr>
        <w:t xml:space="preserve">Investopedia. </w:t>
      </w:r>
      <w:r w:rsidRPr="00454314">
        <w:rPr>
          <w:rFonts w:ascii="Times New Roman" w:hAnsi="Times New Roman" w:cs="Times New Roman"/>
          <w:bCs/>
          <w:sz w:val="24"/>
          <w:szCs w:val="24"/>
          <w:lang w:val="en-US"/>
        </w:rPr>
        <w:t xml:space="preserve">Retrieved from </w:t>
      </w:r>
      <w:hyperlink r:id="rId10" w:history="1">
        <w:r w:rsidRPr="00454314">
          <w:rPr>
            <w:rStyle w:val="Hyperlink"/>
            <w:rFonts w:ascii="Times New Roman" w:hAnsi="Times New Roman" w:cs="Times New Roman"/>
            <w:bCs/>
            <w:sz w:val="24"/>
            <w:szCs w:val="24"/>
            <w:lang w:val="en-US"/>
          </w:rPr>
          <w:t>https://www.investopedia.com/ask/answers/070914/what-are-main-differences-between-return-equity-roe-and-return-assets-roa.asp</w:t>
        </w:r>
      </w:hyperlink>
    </w:p>
    <w:sectPr w:rsidR="009E7CB7" w:rsidSect="00141D91">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3D2EC" w14:textId="77777777" w:rsidR="0067639D" w:rsidRDefault="0067639D" w:rsidP="00141D91">
      <w:pPr>
        <w:spacing w:after="0" w:line="240" w:lineRule="auto"/>
      </w:pPr>
      <w:r>
        <w:separator/>
      </w:r>
    </w:p>
  </w:endnote>
  <w:endnote w:type="continuationSeparator" w:id="0">
    <w:p w14:paraId="06AB1BC1" w14:textId="77777777" w:rsidR="0067639D" w:rsidRDefault="0067639D" w:rsidP="0014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B76C4" w14:textId="77777777" w:rsidR="0067639D" w:rsidRDefault="0067639D" w:rsidP="00141D91">
      <w:pPr>
        <w:spacing w:after="0" w:line="240" w:lineRule="auto"/>
      </w:pPr>
      <w:r>
        <w:separator/>
      </w:r>
    </w:p>
  </w:footnote>
  <w:footnote w:type="continuationSeparator" w:id="0">
    <w:p w14:paraId="508C098F" w14:textId="77777777" w:rsidR="0067639D" w:rsidRDefault="0067639D" w:rsidP="00141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52021390"/>
      <w:docPartObj>
        <w:docPartGallery w:val="Page Numbers (Top of Page)"/>
        <w:docPartUnique/>
      </w:docPartObj>
    </w:sdtPr>
    <w:sdtEndPr>
      <w:rPr>
        <w:noProof/>
      </w:rPr>
    </w:sdtEndPr>
    <w:sdtContent>
      <w:p w14:paraId="0FE18CCB" w14:textId="229A8388" w:rsidR="00141D91" w:rsidRPr="00141D91" w:rsidRDefault="00141D91" w:rsidP="00141D91">
        <w:pPr>
          <w:pStyle w:val="Header"/>
          <w:jc w:val="right"/>
          <w:rPr>
            <w:rFonts w:ascii="Times New Roman" w:hAnsi="Times New Roman" w:cs="Times New Roman"/>
          </w:rPr>
        </w:pPr>
        <w:r w:rsidRPr="00141D91">
          <w:rPr>
            <w:rFonts w:ascii="Times New Roman" w:hAnsi="Times New Roman" w:cs="Times New Roman"/>
            <w:bCs/>
            <w:lang w:val="en-US"/>
          </w:rPr>
          <w:t>SESSION 3 DISCUSSION: ANALYZING FINANCIAL STATEMENTS</w:t>
        </w:r>
        <w:r>
          <w:rPr>
            <w:rFonts w:ascii="Times New Roman" w:hAnsi="Times New Roman" w:cs="Times New Roman"/>
          </w:rPr>
          <w:tab/>
        </w:r>
        <w:r w:rsidRPr="00141D91">
          <w:rPr>
            <w:rFonts w:ascii="Times New Roman" w:hAnsi="Times New Roman" w:cs="Times New Roman"/>
          </w:rPr>
          <w:fldChar w:fldCharType="begin"/>
        </w:r>
        <w:r w:rsidRPr="00141D91">
          <w:rPr>
            <w:rFonts w:ascii="Times New Roman" w:hAnsi="Times New Roman" w:cs="Times New Roman"/>
          </w:rPr>
          <w:instrText xml:space="preserve"> PAGE   \* MERGEFORMAT </w:instrText>
        </w:r>
        <w:r w:rsidRPr="00141D91">
          <w:rPr>
            <w:rFonts w:ascii="Times New Roman" w:hAnsi="Times New Roman" w:cs="Times New Roman"/>
          </w:rPr>
          <w:fldChar w:fldCharType="separate"/>
        </w:r>
        <w:r w:rsidRPr="00141D91">
          <w:rPr>
            <w:rFonts w:ascii="Times New Roman" w:hAnsi="Times New Roman" w:cs="Times New Roman"/>
            <w:noProof/>
          </w:rPr>
          <w:t>2</w:t>
        </w:r>
        <w:r w:rsidRPr="00141D9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65540245"/>
      <w:docPartObj>
        <w:docPartGallery w:val="Page Numbers (Top of Page)"/>
        <w:docPartUnique/>
      </w:docPartObj>
    </w:sdtPr>
    <w:sdtEndPr>
      <w:rPr>
        <w:noProof/>
      </w:rPr>
    </w:sdtEndPr>
    <w:sdtContent>
      <w:p w14:paraId="3E3D84EE" w14:textId="3661A4B6" w:rsidR="00141D91" w:rsidRPr="00141D91" w:rsidRDefault="00141D91" w:rsidP="00141D91">
        <w:pPr>
          <w:pStyle w:val="Header"/>
          <w:jc w:val="right"/>
          <w:rPr>
            <w:rFonts w:ascii="Times New Roman" w:hAnsi="Times New Roman" w:cs="Times New Roman"/>
          </w:rPr>
        </w:pPr>
        <w:r>
          <w:rPr>
            <w:rFonts w:ascii="Times New Roman" w:hAnsi="Times New Roman" w:cs="Times New Roman"/>
            <w:lang w:val="en-US"/>
          </w:rPr>
          <w:t xml:space="preserve">Running head: </w:t>
        </w:r>
        <w:r w:rsidRPr="00141D91">
          <w:rPr>
            <w:rFonts w:ascii="Times New Roman" w:hAnsi="Times New Roman" w:cs="Times New Roman"/>
            <w:bCs/>
            <w:lang w:val="en-US"/>
          </w:rPr>
          <w:t>SESSION 3 DISCUSSION: ANALYZING FINANCIAL STATEMENTS</w:t>
        </w:r>
        <w:r>
          <w:rPr>
            <w:rFonts w:ascii="Times New Roman" w:hAnsi="Times New Roman" w:cs="Times New Roman"/>
          </w:rPr>
          <w:tab/>
        </w:r>
        <w:r w:rsidRPr="00141D91">
          <w:rPr>
            <w:rFonts w:ascii="Times New Roman" w:hAnsi="Times New Roman" w:cs="Times New Roman"/>
          </w:rPr>
          <w:fldChar w:fldCharType="begin"/>
        </w:r>
        <w:r w:rsidRPr="00141D91">
          <w:rPr>
            <w:rFonts w:ascii="Times New Roman" w:hAnsi="Times New Roman" w:cs="Times New Roman"/>
          </w:rPr>
          <w:instrText xml:space="preserve"> PAGE   \* MERGEFORMAT </w:instrText>
        </w:r>
        <w:r w:rsidRPr="00141D91">
          <w:rPr>
            <w:rFonts w:ascii="Times New Roman" w:hAnsi="Times New Roman" w:cs="Times New Roman"/>
          </w:rPr>
          <w:fldChar w:fldCharType="separate"/>
        </w:r>
        <w:r w:rsidRPr="00141D91">
          <w:rPr>
            <w:rFonts w:ascii="Times New Roman" w:hAnsi="Times New Roman" w:cs="Times New Roman"/>
            <w:noProof/>
          </w:rPr>
          <w:t>2</w:t>
        </w:r>
        <w:r w:rsidRPr="00141D9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075EDB"/>
    <w:multiLevelType w:val="hybridMultilevel"/>
    <w:tmpl w:val="2B407966"/>
    <w:lvl w:ilvl="0" w:tplc="1E9212D2">
      <w:start w:val="1"/>
      <w:numFmt w:val="decimal"/>
      <w:lvlText w:val="%1."/>
      <w:lvlJc w:val="left"/>
      <w:pPr>
        <w:ind w:left="720" w:hanging="360"/>
      </w:pPr>
      <w:rPr>
        <w:rFonts w:hint="default"/>
      </w:rPr>
    </w:lvl>
    <w:lvl w:ilvl="1" w:tplc="5D1EB96C" w:tentative="1">
      <w:start w:val="1"/>
      <w:numFmt w:val="lowerLetter"/>
      <w:lvlText w:val="%2."/>
      <w:lvlJc w:val="left"/>
      <w:pPr>
        <w:ind w:left="1440" w:hanging="360"/>
      </w:pPr>
    </w:lvl>
    <w:lvl w:ilvl="2" w:tplc="F06A9F60" w:tentative="1">
      <w:start w:val="1"/>
      <w:numFmt w:val="lowerRoman"/>
      <w:lvlText w:val="%3."/>
      <w:lvlJc w:val="right"/>
      <w:pPr>
        <w:ind w:left="2160" w:hanging="180"/>
      </w:pPr>
    </w:lvl>
    <w:lvl w:ilvl="3" w:tplc="B3C877AC" w:tentative="1">
      <w:start w:val="1"/>
      <w:numFmt w:val="decimal"/>
      <w:lvlText w:val="%4."/>
      <w:lvlJc w:val="left"/>
      <w:pPr>
        <w:ind w:left="2880" w:hanging="360"/>
      </w:pPr>
    </w:lvl>
    <w:lvl w:ilvl="4" w:tplc="6AE2D848" w:tentative="1">
      <w:start w:val="1"/>
      <w:numFmt w:val="lowerLetter"/>
      <w:lvlText w:val="%5."/>
      <w:lvlJc w:val="left"/>
      <w:pPr>
        <w:ind w:left="3600" w:hanging="360"/>
      </w:pPr>
    </w:lvl>
    <w:lvl w:ilvl="5" w:tplc="C44ABF0C" w:tentative="1">
      <w:start w:val="1"/>
      <w:numFmt w:val="lowerRoman"/>
      <w:lvlText w:val="%6."/>
      <w:lvlJc w:val="right"/>
      <w:pPr>
        <w:ind w:left="4320" w:hanging="180"/>
      </w:pPr>
    </w:lvl>
    <w:lvl w:ilvl="6" w:tplc="CB88A3FA" w:tentative="1">
      <w:start w:val="1"/>
      <w:numFmt w:val="decimal"/>
      <w:lvlText w:val="%7."/>
      <w:lvlJc w:val="left"/>
      <w:pPr>
        <w:ind w:left="5040" w:hanging="360"/>
      </w:pPr>
    </w:lvl>
    <w:lvl w:ilvl="7" w:tplc="4CBC4DD4" w:tentative="1">
      <w:start w:val="1"/>
      <w:numFmt w:val="lowerLetter"/>
      <w:lvlText w:val="%8."/>
      <w:lvlJc w:val="left"/>
      <w:pPr>
        <w:ind w:left="5760" w:hanging="360"/>
      </w:pPr>
    </w:lvl>
    <w:lvl w:ilvl="8" w:tplc="53D8F6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U0NzY1MzA2NzO2MDNU0lEKTi0uzszPAykwrAUACKYfJSwAAAA="/>
  </w:docVars>
  <w:rsids>
    <w:rsidRoot w:val="00141D91"/>
    <w:rsid w:val="00141D91"/>
    <w:rsid w:val="002F1CB7"/>
    <w:rsid w:val="00355F55"/>
    <w:rsid w:val="00454314"/>
    <w:rsid w:val="0067639D"/>
    <w:rsid w:val="006A5A3B"/>
    <w:rsid w:val="009E7CB7"/>
    <w:rsid w:val="00B74D25"/>
    <w:rsid w:val="00F4283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65DC"/>
  <w15:chartTrackingRefBased/>
  <w15:docId w15:val="{6DC2CB13-25B4-430B-8332-6738D400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D91"/>
    <w:rPr>
      <w:color w:val="0563C1" w:themeColor="hyperlink"/>
      <w:u w:val="single"/>
    </w:rPr>
  </w:style>
  <w:style w:type="character" w:styleId="UnresolvedMention">
    <w:name w:val="Unresolved Mention"/>
    <w:basedOn w:val="DefaultParagraphFont"/>
    <w:uiPriority w:val="99"/>
    <w:semiHidden/>
    <w:unhideWhenUsed/>
    <w:rsid w:val="00141D91"/>
    <w:rPr>
      <w:color w:val="605E5C"/>
      <w:shd w:val="clear" w:color="auto" w:fill="E1DFDD"/>
    </w:rPr>
  </w:style>
  <w:style w:type="paragraph" w:styleId="Header">
    <w:name w:val="header"/>
    <w:basedOn w:val="Normal"/>
    <w:link w:val="HeaderChar"/>
    <w:uiPriority w:val="99"/>
    <w:unhideWhenUsed/>
    <w:rsid w:val="00141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D91"/>
  </w:style>
  <w:style w:type="paragraph" w:styleId="Footer">
    <w:name w:val="footer"/>
    <w:basedOn w:val="Normal"/>
    <w:link w:val="FooterChar"/>
    <w:uiPriority w:val="99"/>
    <w:unhideWhenUsed/>
    <w:rsid w:val="00141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financeinstitute.com/resources/knowledge/finance/financial-lever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countingtools.com/articles/2017/5/14/financial-leverag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investopedia.com/ask/answers/070914/what-are-main-differences-between-return-equity-roe-and-return-assets-roa.asp" TargetMode="External"/><Relationship Id="rId4" Type="http://schemas.openxmlformats.org/officeDocument/2006/relationships/webSettings" Target="webSettings.xml"/><Relationship Id="rId9" Type="http://schemas.openxmlformats.org/officeDocument/2006/relationships/hyperlink" Target="https://corporatefinanceinstitute.com/resources/knowledge/finance/profitability-ratio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2021-01-24T14:52:00Z</dcterms:created>
  <dcterms:modified xsi:type="dcterms:W3CDTF">2021-01-24T15:03:00Z</dcterms:modified>
</cp:coreProperties>
</file>